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ms-office.chartcolorstyle+xml" PartName="/word/charts/colors1.xml"/>
  <Override ContentType="application/vnd.openxmlformats-officedocument.drawingml.chart+xml" PartName="/word/charts/chart1.xml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ms-office.chartstyle+xml" PartName="/word/charts/style1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3480"/>
        </w:tabs>
        <w:jc w:val="center"/>
        <w:rPr>
          <w:color w:val="808080"/>
          <w:sz w:val="96"/>
          <w:szCs w:val="96"/>
        </w:rPr>
      </w:pPr>
      <w:bookmarkStart w:colFirst="0" w:colLast="0" w:name="_heading=h.30j0zll" w:id="0"/>
      <w:bookmarkEnd w:id="0"/>
      <w:r w:rsidDel="00000000" w:rsidR="00000000" w:rsidRPr="00000000">
        <w:rPr>
          <w:color w:val="808080"/>
          <w:sz w:val="96"/>
          <w:szCs w:val="96"/>
          <w:rtl w:val="0"/>
        </w:rPr>
        <w:t xml:space="preserve">Problematika výtlkov</w:t>
      </w:r>
    </w:p>
    <w:p w:rsidR="00000000" w:rsidDel="00000000" w:rsidP="00000000" w:rsidRDefault="00000000" w:rsidRPr="00000000" w14:paraId="00000002">
      <w:pPr>
        <w:tabs>
          <w:tab w:val="left" w:pos="3480"/>
        </w:tabs>
        <w:jc w:val="center"/>
        <w:rPr>
          <w:color w:val="80808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3480"/>
        </w:tabs>
        <w:jc w:val="center"/>
        <w:rPr>
          <w:color w:val="808080"/>
          <w:sz w:val="44"/>
          <w:szCs w:val="44"/>
        </w:rPr>
      </w:pPr>
      <w:r w:rsidDel="00000000" w:rsidR="00000000" w:rsidRPr="00000000">
        <w:rPr>
          <w:color w:val="808080"/>
          <w:sz w:val="44"/>
          <w:szCs w:val="44"/>
          <w:rtl w:val="0"/>
        </w:rPr>
        <w:t xml:space="preserve">Manuál k podnetom</w:t>
      </w:r>
    </w:p>
    <w:p w:rsidR="00000000" w:rsidDel="00000000" w:rsidP="00000000" w:rsidRDefault="00000000" w:rsidRPr="00000000" w14:paraId="00000004">
      <w:pPr>
        <w:tabs>
          <w:tab w:val="left" w:pos="3480"/>
        </w:tabs>
        <w:jc w:val="center"/>
        <w:rPr>
          <w:color w:val="80808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3480"/>
        </w:tabs>
        <w:jc w:val="center"/>
        <w:rPr>
          <w:color w:val="808080"/>
          <w:sz w:val="44"/>
          <w:szCs w:val="44"/>
        </w:rPr>
      </w:pPr>
      <w:r w:rsidDel="00000000" w:rsidR="00000000" w:rsidRPr="00000000">
        <w:rPr>
          <w:color w:val="808080"/>
          <w:sz w:val="44"/>
          <w:szCs w:val="44"/>
          <w:rtl w:val="0"/>
        </w:rPr>
        <w:t xml:space="preserve">AUTORI: MATÚŠ SEDLÁK, JURAJ KAČÚR</w:t>
      </w:r>
    </w:p>
    <w:p w:rsidR="00000000" w:rsidDel="00000000" w:rsidP="00000000" w:rsidRDefault="00000000" w:rsidRPr="00000000" w14:paraId="00000006">
      <w:pPr>
        <w:tabs>
          <w:tab w:val="left" w:pos="34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2424113</wp:posOffset>
            </wp:positionH>
            <wp:positionV relativeFrom="paragraph">
              <wp:posOffset>152400</wp:posOffset>
            </wp:positionV>
            <wp:extent cx="1095375" cy="523875"/>
            <wp:effectExtent b="0" l="0" r="0" t="0"/>
            <wp:wrapTopAndBottom distB="0" distT="0"/>
            <wp:docPr id="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34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348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3480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Tento materiál je výstupom projektu </w:t>
      </w:r>
      <w:r w:rsidDel="00000000" w:rsidR="00000000" w:rsidRPr="00000000">
        <w:rPr>
          <w:i w:val="1"/>
          <w:sz w:val="24"/>
          <w:szCs w:val="24"/>
          <w:rtl w:val="0"/>
        </w:rPr>
        <w:t xml:space="preserve">Participácia, informovanosť a tvorba verejných politík na úrovni samospráv - Odkaz pre starostu 2.0</w:t>
      </w:r>
      <w:r w:rsidDel="00000000" w:rsidR="00000000" w:rsidRPr="00000000">
        <w:rPr>
          <w:sz w:val="24"/>
          <w:szCs w:val="24"/>
          <w:rtl w:val="0"/>
        </w:rPr>
        <w:t xml:space="preserve">. Tento projekt je podporený z Európskeho sociálneho fondu cez operačný program Efektívna verejná správa.</w:t>
      </w:r>
    </w:p>
    <w:p w:rsidR="00000000" w:rsidDel="00000000" w:rsidP="00000000" w:rsidRDefault="00000000" w:rsidRPr="00000000" w14:paraId="00000018">
      <w:pPr>
        <w:tabs>
          <w:tab w:val="left" w:pos="348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348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2714625</wp:posOffset>
            </wp:positionH>
            <wp:positionV relativeFrom="paragraph">
              <wp:posOffset>247650</wp:posOffset>
            </wp:positionV>
            <wp:extent cx="3829050" cy="955149"/>
            <wp:effectExtent b="0" l="0" r="0" t="0"/>
            <wp:wrapSquare wrapText="bothSides" distB="0" distT="0" distL="0" distR="0"/>
            <wp:docPr id="3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9551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-323848</wp:posOffset>
            </wp:positionH>
            <wp:positionV relativeFrom="paragraph">
              <wp:posOffset>323850</wp:posOffset>
            </wp:positionV>
            <wp:extent cx="3214688" cy="801898"/>
            <wp:effectExtent b="0" l="0" r="0" t="0"/>
            <wp:wrapSquare wrapText="bothSides" distB="0" distT="0" distL="0" distR="0"/>
            <wp:docPr id="4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8018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after="16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Tento dokument vo forme manuálu zhŕňa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všetky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základné informácie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slúžiace k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efektívnejšiemu riešeniu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podnetov týkajúcich sa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výtlkov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zároveň predstavuje zákonné postupy, ktoré môžu situáciu zjednodušiť. </w:t>
      </w:r>
    </w:p>
    <w:p w:rsidR="00000000" w:rsidDel="00000000" w:rsidP="00000000" w:rsidRDefault="00000000" w:rsidRPr="00000000" w14:paraId="0000001B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Počet podnetov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z kategórie výtlkov postupne od roku 2010 (1 podnet)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rástol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 V roku 2018 dosiahol hodnotu 1 234 podnetov a tvoril celkovo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desatinu zo všetkých zadaných podnetov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2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Medzi rokmi je možné pozorovať trend stúpajúceho počtu tohto typu podnetov, pričom vrchol predstavuje rok 2018 s celkovo 1 234 nahlásenými skládkami. Podiel vyriešených podnetov (s výnimkou roku 2010) dlhodobo až do roku 2016 presahoval 60 %. Od roku 2015 však pozorujeme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postupný pokles podielu vyriešených podnetov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Úspešnosť riešenia podnetov týkajúcich výtlkov bola dlhodobo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nadpriemerná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 porovnaní s inými kategóriami. Výnimku predstavujú roky 2010, 2017 a 2018, kedy podiel vyriešených podnetov ročne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klesol pod celkový priemer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Zároveň môžeme medzi rokmi 2017 a 2018 pozorovať divergenciu od priemeru, nakoľko zaostávanie kategórie výtlkov v podiele vyriešených podnetov narástlo z 2 % na 4,3 %. Zároveň opačne platí, že podiel neriešených podnetov týkajúcich sa výtlkov bol až do roku 2017 každoročne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nižší ako celkový podiel neriešených podnetov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 tomto prípade sa nejedná o problematické podnety v zmysle nedostatočného riešenia zo strany samospráv. Uvedené štatistiky ukazujú, že podnety z týchto kategórií dlhodobo skôr vykazujú o niečo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lepšie výsledky ako celkový priemer riešenia podnetov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na portáli.</w:t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Popri tomto raste je taktiež dôležité mať na pamäti od roku 2015 trvajúci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trend klesajúceho podielu vyriešených podnetov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týkajúcich sa výtlkov. Ten môže signalizovať, že možnosti samospráv reagovať na nárast tejto problematiky nie sú postačujúce.</w:t>
      </w:r>
    </w:p>
    <w:p w:rsidR="00000000" w:rsidDel="00000000" w:rsidP="00000000" w:rsidRDefault="00000000" w:rsidRPr="00000000" w14:paraId="00000021">
      <w:pPr>
        <w:spacing w:after="16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426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Graf č. 1.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Podiel vyriešených podnetov ročne.</w:t>
      </w:r>
    </w:p>
    <w:p w:rsidR="00000000" w:rsidDel="00000000" w:rsidP="00000000" w:rsidRDefault="00000000" w:rsidRPr="00000000" w14:paraId="00000033">
      <w:pPr>
        <w:ind w:left="42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5638800" cy="2973705"/>
            <wp:docPr id="30" name=""/>
            <a:graphic>
              <a:graphicData uri="http://schemas.openxmlformats.org/drawingml/2006/chart">
                <c:chart r:id="rId11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567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Zdroj: Odkaz pre starostu.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Legislatívny rámec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Legislatívny rámec pre oblasť komunikácií upravuje predovšetkým zákon o pozemných komunikáciách (aj ako cestný zákon) vedený ako zákon 135/1961 Zb. 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Podľa tohto zákona tvoria cestnú sieť: 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a) diaľnice,</w:t>
        <w:br w:type="textWrapping"/>
        <w:t xml:space="preserve">b) cesty I., II. a III. triedy ( napr. I/18, II/536, III/3064)</w:t>
        <w:br w:type="textWrapping"/>
        <w:t xml:space="preserve">c) miestne komunikácie,</w:t>
        <w:br w:type="textWrapping"/>
        <w:t xml:space="preserve">d) účelové komunikácie (verejné a neverejné, poľné aj lesné cesty).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Toto rozdelenie do istej miery vypovedá aj o rôznosti, s akou dochádza k správe týchto komunikácií. Správa jednotlivých komunikácii je rozdelená nasledovne: 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8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Diaľnice, rýchlostné cesty – Národná diaľničná spoločnosť 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Cesty vo vlastníctve štátu – cesty I. triedy Slovenská správa ciest 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Cesty vo vlastníctve samosprávneho kraja – cesty II. a III. triedy - starostlivosť preberá samosprávny kraj, prípadne právnické osoby ním na tento účel založené alebo zriadené  - príkladom je napríklad Správa a údržba ciest Prešovského samosprávneho kraja 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Prejazdné úseky ciest vo vlastníctve obce, miestne komunikácie a účelové komunikácie vo vlastníctve obce – starostlivosť je na samotnej obci prípadne na právnickej osobe na tento účelom založenej alebo zriadenej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Účelové komunikácie  vo vlastníctve štátu – v správe právnických osôb, ktorým celkom alebo prevažne slúžia dané komunikácie.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Všeobecný postup samosprávy pri riešení podnetov: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375977" cy="7587953"/>
            <wp:effectExtent b="0" l="0" r="0" t="0"/>
            <wp:docPr id="3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75977" cy="7587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Zdroj:Autori</w:t>
      </w:r>
    </w:p>
    <w:p w:rsidR="00000000" w:rsidDel="00000000" w:rsidP="00000000" w:rsidRDefault="00000000" w:rsidRPr="00000000" w14:paraId="00000067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4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A) Odporúčanie pre nahlasovateľov 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nahlasovateľky</w:t>
      </w:r>
    </w:p>
    <w:p w:rsidR="00000000" w:rsidDel="00000000" w:rsidP="00000000" w:rsidRDefault="00000000" w:rsidRPr="00000000" w14:paraId="00000069">
      <w:pPr>
        <w:spacing w:after="1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základe vypracovanej analýzy predkladáme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odporúčania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ktoré majú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zrýchliť a zefektívniť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riešenie problémov cez portál Odkaz pre starostu. Za asi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najčastejší problém pri nahlasovaní podnetov považujeme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nesprávne lokalizovanie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podnetu. Nesprávna lokalizácia podnetu má častokrát za následok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nesprávne určenie zodpovednej inštitúcie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Nie je to chyba, ktorá by priamo zamedzila vyriešeniu daného podnetu, ale môže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výrazne predĺžiť riešenie podnetu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6B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 nepresnej lokalizácii môže taktiež nastať problém, že daný výtlk pracovníci samosprávy na 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terénnej obhliadke nenájdu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Preto je vhodné sa ubezpečiť, že zadaná lokalita je tá správna a poprípade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vyhľadať si danú ulicu v atlase komunikácii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v ktorom sú definované zodpovedné inštitúcie za dané ulice. Atlas komunikácii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je prístupný tu: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https://ismcs.cdb.sk/portal/mapviewer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C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Rovnako môže nastať situácia, že sa riešenie podnetu predĺži kvôli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nedostatočnej dokumentácii podnetu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Okrem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GPS lokalizácie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ktorá však niekedy z technický dôvodov nezaznamená podnet úplne presne, je možné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doložiť dokumentáciu slovným opisom alebo fotodokumentáciou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V popise odporúčame uviesť hlavné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orientačné body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podľa ktorých môžeme daný výtlk nájsť, a v rámci fotodokumentácii je najlepšie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spraviť niekoľko fotografií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Fotky detailu daného výtlku pomáhajú určiť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rozsah problému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avšak fotky výtlku z väčšej vzdialenosti aj s okolím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uľahčujú jeho lokalizáciu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D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Pri opravách dostanú prednosť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frekventovanejšie cesty a chodníky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alebo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komunikácie v havarijnom stave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Množstvo opravených komunikácii je limitované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finančným rozpočtom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vyčleneným na správu komunikácii. Z vyššie spomenutých dôvodov môže byť nápomocné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osloviť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poslancov a poslankyne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za príslušný volebný obvod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priamo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alebo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cez inštitút interpelácie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na zasadnutí mesta, mestskej časti či obce, keďže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sú zodpovední za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schvaľovanie rozpočtu a jeho prípadných úprav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môžu v spolupráci so starostom zariadiť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uvoľnenie dodatočných prostriedkov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Pri fotodokumentácii daného podnetu môžeme rozoznať rozsah výtlku, ale nie lokalizáciu, ktorá nie je presne určená ani v popise podnetu.</w:t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14835" cy="7250049"/>
            <wp:effectExtent b="0" l="0" r="0" t="0"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835" cy="7250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V tomto prípade je uvedený popis, z ktorého je možné presne určiť lokalizáciu. Z fotodokumentácie je zreteľné, kde sa podnet nachádza, a aj rozsah výtlku.</w:t>
      </w:r>
    </w:p>
    <w:p w:rsidR="00000000" w:rsidDel="00000000" w:rsidP="00000000" w:rsidRDefault="00000000" w:rsidRPr="00000000" w14:paraId="0000007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57557" cy="5398481"/>
            <wp:effectExtent b="0" l="0" r="0" t="0"/>
            <wp:docPr id="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557" cy="5398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B) Odporúčanie pre samosprávy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 analýzy výtlkov sme sa dozvedeli, že medzi najväčšie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prekážky pri riešení problematiky výtlkov sú financie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ktoré sú plánované v predstihu na nasledujúci kalendárny rok.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Niektoré opravy výtlkov sú z toho dôvodu presúvané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na nasledujúce rozpočtové obdobie. Preto by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lepšej informovanosti a porozumeniu obyvateľov pomohlo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aby mali možnosť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nahliadnuť na aktuálny stav rozpočtu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Napríklad samosprávy by uverejnili na svojom webe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aktualizovaný graf celkového vyčerpania prostriedkov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pre aktuálne rozpočtové obdobie. Ideálne s doplneným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sumárom už vykonaných opráv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ich percentuálnym zaťažením rozpočtu.</w:t>
      </w:r>
    </w:p>
    <w:p w:rsidR="00000000" w:rsidDel="00000000" w:rsidP="00000000" w:rsidRDefault="00000000" w:rsidRPr="00000000" w14:paraId="0000008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gjdgxs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Stáva sa, že nielen vo veľkých mestách, ktoré majú viacero mestských častí (Bratislava, Košice), ale aj v iných mestách a obciach sa stretávame 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problémom určenia zodpovednosti za konkrétne komunikácie.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 týchto prípadoch nevysporiadanej či nejasnej zodpovednosti za komunikácie si samosprávy 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iné zodpovedné inštitúcie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problém preposielajú a vracajú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V prípade, že samosprávy nemajú úplne vysporiadaný pasport ulíc, alebo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 nemajú zverejnený, aby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zabránili prehadzovaniu podnetov od jednej inštitúcii ku druhej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považujeme za vhodné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pripojiť ku odpovedi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aj stránku, kde je možné si overiť tvrdenie o zodpovednosti za predmetnú lokalitu. Napríklad: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https://ismcs.cdb.sk/portal/mapviewer/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>
          <w:rtl w:val="0"/>
        </w:rPr>
        <w:t xml:space="preserve">Pri tomto príklade uvádzame problém s určením zodpovednosti za danú lokalitu. V rámci podnetu bola niekoľkokrát zmenená zodpovednosť a uplynulo niekoľko týždňov od pridania podnetu ku prvej reakcii samosprávy. </w:t>
      </w:r>
    </w:p>
    <w:p w:rsidR="00000000" w:rsidDel="00000000" w:rsidP="00000000" w:rsidRDefault="00000000" w:rsidRPr="00000000" w14:paraId="000000A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662006" cy="5691877"/>
            <wp:effectExtent b="0" l="0" r="0" t="0"/>
            <wp:docPr id="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2006" cy="5691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010511" cy="1705321"/>
            <wp:effectExtent b="0" l="0" r="0" t="0"/>
            <wp:docPr id="3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0511" cy="1705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Tu samospráva dáva najavo snahu o vyriešenie podnetu, ale na základe uvedených dôvodov neponúka prakticky žiadnu časovú predikciu vyriešenia podnetu.</w:t>
      </w:r>
    </w:p>
    <w:p w:rsidR="00000000" w:rsidDel="00000000" w:rsidP="00000000" w:rsidRDefault="00000000" w:rsidRPr="00000000" w14:paraId="000000A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/>
      </w:pPr>
      <w:bookmarkStart w:colFirst="0" w:colLast="0" w:name="_heading=h.1fob9te" w:id="2"/>
      <w:bookmarkEnd w:id="2"/>
      <w:r w:rsidDel="00000000" w:rsidR="00000000" w:rsidRPr="00000000">
        <w:rPr/>
        <w:drawing>
          <wp:inline distB="0" distT="0" distL="0" distR="0">
            <wp:extent cx="3029477" cy="6382860"/>
            <wp:effectExtent b="0" l="0" r="0" t="0"/>
            <wp:docPr id="4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9477" cy="6382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973458" cy="1114855"/>
            <wp:effectExtent b="0" l="0" r="0" t="0"/>
            <wp:docPr id="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3458" cy="1114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Nižšie uvedený podnet považujeme za príklad rýchleho informovania o riešení podnetu a následného riešenia.</w:t>
      </w:r>
    </w:p>
    <w:p w:rsidR="00000000" w:rsidDel="00000000" w:rsidP="00000000" w:rsidRDefault="00000000" w:rsidRPr="00000000" w14:paraId="000000A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674232" cy="6556604"/>
            <wp:effectExtent b="0" l="0" r="0" t="0"/>
            <wp:docPr id="3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4232" cy="6556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027223" cy="1036245"/>
            <wp:effectExtent b="0" l="0" r="0" t="0"/>
            <wp:docPr id="4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7223" cy="1036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https://www.slov-lex.sk/pravne-predpisy/SK/ZZ/1961/135/vyhlasene_znenie.html</w:t>
      </w:r>
    </w:p>
  </w:footnote>
  <w:footnote w:id="1"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http://www.vdoprave.sk/wp-content/uploads/2016/01/PREZENTÁCIA.pdf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AD">
      <w:pPr>
        <w:spacing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užívateľ  môže  vyhľadať  komunikáciu  sám 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na mape alebo s pomocou vyhľadávača v pravom hornom rohu zadaním názvu ulice a mesta (v prípade Bratislavy a Košíc okresu). Po kliknutí na predmetný úsek sa rozbalí okno obsahujúce o.i. označenie správcu komunikácie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750" w:hanging="39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3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k-S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y" w:default="1">
    <w:name w:val="Normal"/>
    <w:qFormat w:val="1"/>
    <w:rsid w:val="009E3C1F"/>
    <w:rPr>
      <w:lang w:eastAsia="sk-SK"/>
    </w:rPr>
  </w:style>
  <w:style w:type="paragraph" w:styleId="Nadpis1">
    <w:name w:val="heading 1"/>
    <w:basedOn w:val="Normlny"/>
    <w:next w:val="Normlny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dpis2">
    <w:name w:val="heading 2"/>
    <w:basedOn w:val="Normlny"/>
    <w:next w:val="Norm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dpis3">
    <w:name w:val="heading 3"/>
    <w:basedOn w:val="Normlny"/>
    <w:next w:val="Norm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dpis4">
    <w:name w:val="heading 4"/>
    <w:basedOn w:val="Normlny"/>
    <w:next w:val="Norm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dpis5">
    <w:name w:val="heading 5"/>
    <w:basedOn w:val="Normlny"/>
    <w:next w:val="Norm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Nadpis6">
    <w:name w:val="heading 6"/>
    <w:basedOn w:val="Normlny"/>
    <w:next w:val="Norm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ov">
    <w:name w:val="Title"/>
    <w:basedOn w:val="Normlny"/>
    <w:next w:val="Norm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il" w:customStyle="1">
    <w:name w:val="il"/>
    <w:basedOn w:val="Predvolenpsmoodseku"/>
    <w:rsid w:val="009E3C1F"/>
  </w:style>
  <w:style w:type="paragraph" w:styleId="Odsekzoznamu">
    <w:name w:val="List Paragraph"/>
    <w:basedOn w:val="Normlny"/>
    <w:uiPriority w:val="34"/>
    <w:qFormat w:val="1"/>
    <w:rsid w:val="009E3C1F"/>
    <w:pPr>
      <w:spacing w:line="240" w:lineRule="auto"/>
      <w:ind w:left="720"/>
      <w:contextualSpacing w:val="1"/>
    </w:pPr>
    <w:rPr>
      <w:rFonts w:asciiTheme="minorHAnsi" w:cstheme="minorBidi" w:eastAsiaTheme="minorHAnsi" w:hAnsiTheme="minorHAnsi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unhideWhenUsed w:val="1"/>
    <w:rsid w:val="00081C49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 w:val="1"/>
    <w:unhideWhenUsed w:val="1"/>
    <w:rsid w:val="00AF20A9"/>
    <w:rPr>
      <w:color w:val="954f72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 w:val="1"/>
    <w:unhideWhenUsed w:val="1"/>
    <w:rsid w:val="00E02298"/>
    <w:rPr>
      <w:color w:val="605e5c"/>
      <w:shd w:color="auto" w:fill="e1dfdd" w:val="clear"/>
    </w:rPr>
  </w:style>
  <w:style w:type="paragraph" w:styleId="Textpoznmkypodiarou">
    <w:name w:val="footnote text"/>
    <w:basedOn w:val="Normlny"/>
    <w:link w:val="TextpoznmkypodiarouChar"/>
    <w:uiPriority w:val="99"/>
    <w:unhideWhenUsed w:val="1"/>
    <w:rsid w:val="00044F37"/>
    <w:pPr>
      <w:spacing w:line="240" w:lineRule="auto"/>
    </w:pPr>
    <w:rPr>
      <w:sz w:val="20"/>
      <w:szCs w:val="20"/>
    </w:rPr>
  </w:style>
  <w:style w:type="character" w:styleId="TextpoznmkypodiarouChar" w:customStyle="1">
    <w:name w:val="Text poznámky pod čiarou Char"/>
    <w:basedOn w:val="Predvolenpsmoodseku"/>
    <w:link w:val="Textpoznmkypodiarou"/>
    <w:uiPriority w:val="99"/>
    <w:rsid w:val="00044F37"/>
    <w:rPr>
      <w:rFonts w:ascii="Arial" w:cs="Arial" w:eastAsia="Arial" w:hAnsi="Arial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unhideWhenUsed w:val="1"/>
    <w:rsid w:val="00044F37"/>
    <w:rPr>
      <w:vertAlign w:val="superscript"/>
    </w:rPr>
  </w:style>
  <w:style w:type="paragraph" w:styleId="Normlnywebov">
    <w:name w:val="Normal (Web)"/>
    <w:basedOn w:val="Normlny"/>
    <w:uiPriority w:val="99"/>
    <w:unhideWhenUsed w:val="1"/>
    <w:rsid w:val="000F03DD"/>
    <w:pPr>
      <w:spacing w:after="100" w:afterAutospacing="1" w:before="100" w:beforeAutospacing="1" w:line="240" w:lineRule="auto"/>
    </w:pPr>
    <w:rPr>
      <w:rFonts w:ascii="Times New Roman" w:cs="Times New Roman" w:hAnsi="Times New Roman" w:eastAsiaTheme="minorHAnsi"/>
      <w:sz w:val="24"/>
      <w:szCs w:val="24"/>
      <w:lang w:eastAsia="en-US"/>
    </w:rPr>
  </w:style>
  <w:style w:type="paragraph" w:styleId="Podtitul">
    <w:name w:val="Subtitle"/>
    <w:basedOn w:val="Normlny"/>
    <w:next w:val="Normlny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bubliny">
    <w:name w:val="Balloon Text"/>
    <w:basedOn w:val="Normlny"/>
    <w:link w:val="TextbublinyChar"/>
    <w:uiPriority w:val="99"/>
    <w:semiHidden w:val="1"/>
    <w:unhideWhenUsed w:val="1"/>
    <w:rsid w:val="00554599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xtbublinyChar" w:customStyle="1">
    <w:name w:val="Text bubliny Char"/>
    <w:basedOn w:val="Predvolenpsmoodseku"/>
    <w:link w:val="Textbubliny"/>
    <w:uiPriority w:val="99"/>
    <w:semiHidden w:val="1"/>
    <w:rsid w:val="00554599"/>
    <w:rPr>
      <w:rFonts w:ascii="Segoe UI" w:cs="Segoe UI" w:hAnsi="Segoe UI"/>
      <w:sz w:val="18"/>
      <w:szCs w:val="18"/>
      <w:lang w:eastAsia="sk-SK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chart" Target="charts/chart1.xml"/><Relationship Id="rId22" Type="http://schemas.openxmlformats.org/officeDocument/2006/relationships/image" Target="media/image10.png"/><Relationship Id="rId10" Type="http://schemas.openxmlformats.org/officeDocument/2006/relationships/image" Target="media/image3.png"/><Relationship Id="rId21" Type="http://schemas.openxmlformats.org/officeDocument/2006/relationships/image" Target="media/image12.png"/><Relationship Id="rId13" Type="http://schemas.openxmlformats.org/officeDocument/2006/relationships/hyperlink" Target="https://ismcs.cdb.sk/portal/mapviewer" TargetMode="External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1.png"/><Relationship Id="rId15" Type="http://schemas.openxmlformats.org/officeDocument/2006/relationships/image" Target="media/image4.png"/><Relationship Id="rId14" Type="http://schemas.openxmlformats.org/officeDocument/2006/relationships/image" Target="media/image1.png"/><Relationship Id="rId17" Type="http://schemas.openxmlformats.org/officeDocument/2006/relationships/image" Target="media/image5.png"/><Relationship Id="rId16" Type="http://schemas.openxmlformats.org/officeDocument/2006/relationships/hyperlink" Target="https://ismcs.cdb.sk/portal/mapviewer/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6" Type="http://schemas.openxmlformats.org/officeDocument/2006/relationships/styles" Target="styles.xml"/><Relationship Id="rId18" Type="http://schemas.openxmlformats.org/officeDocument/2006/relationships/image" Target="media/image6.png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file:///C:\Users\juraj\Documents\SGI\OPS%202.0\Aktivita%207%20-%20manu&#225;l%20k%20podnetom\v&#253;tlky\v&#253;tlky_d&#225;ta%20z%20Op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09492563429571"/>
          <c:y val="0.18097222222222226"/>
          <c:w val="0.85334951881014875"/>
          <c:h val="0.61498432487605714"/>
        </c:manualLayout>
      </c:layout>
      <c:lineChart>
        <c:grouping val="standard"/>
        <c:varyColors val="0"/>
        <c:ser>
          <c:idx val="0"/>
          <c:order val="0"/>
          <c:tx>
            <c:strRef>
              <c:f>Sheet2!$B$47</c:f>
              <c:strCache>
                <c:ptCount val="1"/>
                <c:pt idx="0">
                  <c:v>všetky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0.05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2E-43B6-9468-B53E3F036E8F}"/>
                </c:ext>
              </c:extLst>
            </c:dLbl>
            <c:dLbl>
              <c:idx val="1"/>
              <c:layout>
                <c:manualLayout>
                  <c:x val="-0.05"/>
                  <c:y val="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2E-43B6-9468-B53E3F036E8F}"/>
                </c:ext>
              </c:extLst>
            </c:dLbl>
            <c:dLbl>
              <c:idx val="2"/>
              <c:layout>
                <c:manualLayout>
                  <c:x val="-5.2777777777777778E-2"/>
                  <c:y val="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2E-43B6-9468-B53E3F036E8F}"/>
                </c:ext>
              </c:extLst>
            </c:dLbl>
            <c:dLbl>
              <c:idx val="3"/>
              <c:layout>
                <c:manualLayout>
                  <c:x val="-0.05"/>
                  <c:y val="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2E-43B6-9468-B53E3F036E8F}"/>
                </c:ext>
              </c:extLst>
            </c:dLbl>
            <c:dLbl>
              <c:idx val="4"/>
              <c:layout>
                <c:manualLayout>
                  <c:x val="-4.4444444444444543E-2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2E-43B6-9468-B53E3F036E8F}"/>
                </c:ext>
              </c:extLst>
            </c:dLbl>
            <c:dLbl>
              <c:idx val="5"/>
              <c:layout>
                <c:manualLayout>
                  <c:x val="-3.3333333333333437E-2"/>
                  <c:y val="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2E-43B6-9468-B53E3F036E8F}"/>
                </c:ext>
              </c:extLst>
            </c:dLbl>
            <c:dLbl>
              <c:idx val="6"/>
              <c:layout>
                <c:manualLayout>
                  <c:x val="-5.2777777777777882E-2"/>
                  <c:y val="5.5555555555555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2E-43B6-9468-B53E3F036E8F}"/>
                </c:ext>
              </c:extLst>
            </c:dLbl>
            <c:dLbl>
              <c:idx val="7"/>
              <c:layout>
                <c:manualLayout>
                  <c:x val="-7.2222222222222215E-2"/>
                  <c:y val="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2E-43B6-9468-B53E3F036E8F}"/>
                </c:ext>
              </c:extLst>
            </c:dLbl>
            <c:dLbl>
              <c:idx val="8"/>
              <c:layout>
                <c:manualLayout>
                  <c:x val="-6.1111111111111213E-2"/>
                  <c:y val="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2E-43B6-9468-B53E3F036E8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Sheet2!$A$48:$A$56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Sheet2!$B$48:$B$56</c:f>
              <c:numCache>
                <c:formatCode>General</c:formatCode>
                <c:ptCount val="9"/>
                <c:pt idx="0">
                  <c:v>0.58860759493670889</c:v>
                </c:pt>
                <c:pt idx="1">
                  <c:v>0.60869565217391308</c:v>
                </c:pt>
                <c:pt idx="2">
                  <c:v>0.59563758389261745</c:v>
                </c:pt>
                <c:pt idx="3">
                  <c:v>0.6456863809007054</c:v>
                </c:pt>
                <c:pt idx="4">
                  <c:v>0.59659474039109917</c:v>
                </c:pt>
                <c:pt idx="5">
                  <c:v>0.60689134808853118</c:v>
                </c:pt>
                <c:pt idx="6">
                  <c:v>0.5490196078431373</c:v>
                </c:pt>
                <c:pt idx="7">
                  <c:v>0.48664467383207405</c:v>
                </c:pt>
                <c:pt idx="8">
                  <c:v>0.34249471458773784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82E-43B6-9468-B53E3F036E8F}"/>
            </c:ext>
          </c:extLst>
        </c:ser>
        <c:ser>
          <c:idx val="1"/>
          <c:order val="1"/>
          <c:tx>
            <c:strRef>
              <c:f>Sheet2!$C$47</c:f>
              <c:strCache>
                <c:ptCount val="1"/>
                <c:pt idx="0">
                  <c:v>výtlky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6666666666666693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82E-43B6-9468-B53E3F036E8F}"/>
                </c:ext>
              </c:extLst>
            </c:dLbl>
            <c:dLbl>
              <c:idx val="1"/>
              <c:layout>
                <c:manualLayout>
                  <c:x val="-0.05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82E-43B6-9468-B53E3F036E8F}"/>
                </c:ext>
              </c:extLst>
            </c:dLbl>
            <c:dLbl>
              <c:idx val="2"/>
              <c:layout>
                <c:manualLayout>
                  <c:x val="-3.3333333333333333E-2"/>
                  <c:y val="-5.555555555555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82E-43B6-9468-B53E3F036E8F}"/>
                </c:ext>
              </c:extLst>
            </c:dLbl>
            <c:dLbl>
              <c:idx val="3"/>
              <c:layout>
                <c:manualLayout>
                  <c:x val="-2.5000000000000001E-2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82E-43B6-9468-B53E3F036E8F}"/>
                </c:ext>
              </c:extLst>
            </c:dLbl>
            <c:dLbl>
              <c:idx val="4"/>
              <c:layout>
                <c:manualLayout>
                  <c:x val="-4.1666666666666664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82E-43B6-9468-B53E3F036E8F}"/>
                </c:ext>
              </c:extLst>
            </c:dLbl>
            <c:dLbl>
              <c:idx val="5"/>
              <c:layout>
                <c:manualLayout>
                  <c:x val="-0.05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82E-43B6-9468-B53E3F036E8F}"/>
                </c:ext>
              </c:extLst>
            </c:dLbl>
            <c:dLbl>
              <c:idx val="6"/>
              <c:layout>
                <c:manualLayout>
                  <c:x val="-0.05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82E-43B6-9468-B53E3F036E8F}"/>
                </c:ext>
              </c:extLst>
            </c:dLbl>
            <c:dLbl>
              <c:idx val="7"/>
              <c:layout>
                <c:manualLayout>
                  <c:x val="-2.777777777777788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82E-43B6-9468-B53E3F036E8F}"/>
                </c:ext>
              </c:extLst>
            </c:dLbl>
            <c:dLbl>
              <c:idx val="8"/>
              <c:layout>
                <c:manualLayout>
                  <c:x val="-8.3333333333334356E-3"/>
                  <c:y val="-9.2592592592592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82E-43B6-9468-B53E3F036E8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Sheet2!$A$48:$A$56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Sheet2!$C$48:$C$56</c:f>
              <c:numCache>
                <c:formatCode>General</c:formatCode>
                <c:ptCount val="9"/>
                <c:pt idx="0">
                  <c:v>0</c:v>
                </c:pt>
                <c:pt idx="1">
                  <c:v>0.9</c:v>
                </c:pt>
                <c:pt idx="2">
                  <c:v>0.7142857142857143</c:v>
                </c:pt>
                <c:pt idx="3">
                  <c:v>0.68817204301075274</c:v>
                </c:pt>
                <c:pt idx="4">
                  <c:v>0.66433566433566438</c:v>
                </c:pt>
                <c:pt idx="5">
                  <c:v>0.73631840796019898</c:v>
                </c:pt>
                <c:pt idx="6">
                  <c:v>0.67361111111111116</c:v>
                </c:pt>
                <c:pt idx="7">
                  <c:v>0.46740638002773927</c:v>
                </c:pt>
                <c:pt idx="8">
                  <c:v>0.29902755267423015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F82E-43B6-9468-B53E3F036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7103688"/>
        <c:axId val="667099424"/>
      </c:lineChart>
      <c:catAx>
        <c:axId val="667103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7099424"/>
        <c:crosses val="autoZero"/>
        <c:auto val="1"/>
        <c:lblAlgn val="ctr"/>
        <c:lblOffset val="100"/>
        <c:noMultiLvlLbl val="0"/>
      </c:catAx>
      <c:valAx>
        <c:axId val="66709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7103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6OGyszKIpyhEvVirpEJUk7IIjA==">AMUW2mVgYQfMzNNyl+fotVzhJX9o334u145qY/8w3u6hDBBcm3XwLXpa91rfbpF1328IcjEiCidhzQIS/eMJzbv/urXMgWWsbnTS6JIQ/HqJbktNKuFq+Go2h6EJgiuaaKh5MNYeSZtATVVJ1/mA7aNu0PKAbXz0fg==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2019-07-18T12:48:00Z</dcterms:created>
  <dc:creator>Gabriela Potfajová</dc:creator>
</cp:coreProperties>
</file>